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u w:val="single"/>
        </w:rPr>
      </w:pPr>
      <w:r>
        <w:drawing>
          <wp:inline distT="0" distB="0" distL="0" distR="0">
            <wp:extent cx="1651000" cy="1651000"/>
            <wp:effectExtent l="0" t="0" r="0" b="0"/>
            <wp:docPr id="1073741825" name="officeArt object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outline w:val="0"/>
          <w:color w:val="0000fd"/>
          <w:u w:val="single" w:color="0000fd"/>
          <w:rtl w:val="0"/>
          <w:lang w:val="en-US"/>
          <w14:textFill>
            <w14:solidFill>
              <w14:srgbClr w14:val="0000FD"/>
            </w14:solidFill>
          </w14:textFill>
        </w:rPr>
        <w:t>htvbuzz.com       @htvbuzz        facebook.com/htvmagazine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Street Scene</w:t>
      </w:r>
    </w:p>
    <w:p>
      <w:pPr>
        <w:pStyle w:val="Body A"/>
        <w:rPr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 montage of student reactions to panhandling are used at the beginning of the story.  Was this necessary?  How would you have started the story?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 Why is the information after the story, from the reporter, so important?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 xml:space="preserve"> Was the story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central character sympathetic?  Explain.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What were the videographer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challenges in gathering footage for this piece?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 xml:space="preserve"> Name two or three challenges the HTV team faced to produce this segment?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