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They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>re Number One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rtl w:val="0"/>
          <w:lang w:val="en-US"/>
        </w:rPr>
        <w:t>The photographer opted for a lot of hand-held shots for this piece, and even used a strobe effect at times.  Did it add to, or distract from the overall impact?  Explain.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On a show geared to teen viewers, you strive to involve young people.  How did the story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utilize teenagers in this piece?</w:t>
      </w:r>
    </w:p>
    <w:p>
      <w:pPr>
        <w:pStyle w:val="Body A"/>
        <w:rPr>
          <w:sz w:val="24"/>
          <w:szCs w:val="24"/>
          <w:rtl w:val="0"/>
          <w:lang w:val="en-US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A radio station story offers many opportunities for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natural sound.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List two sounds you would like to have heard in the story.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Based on soundbites, how had KTTS managed to pull in younger listeners from time to time?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5.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The story was shot in 1997.  What were some things you saw that dated it, and made it obvious it was not a recent segment?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