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Speed Test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How did the reporter and photographer make sure their methods were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transparent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this report?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List at least four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stakeholders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in this story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—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people who have a vested interest in this topic.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How effective was it to not only see the speeds of the passing cars, but also to hear the reporter say them aloud?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One of the key visuals in this story was the graphic/animation of stopping distances.  How did this add important information?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The school principal was only used once, at the end, for the final sound bite.  What is the impact (or intended impact) of her statement on the viewer?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