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Butterflies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How does the video use reflection shots to reveal Brad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obsession with himself?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digital editing trick was used at the booth in the restaurant during the proposal scene?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Which shot reveals Brad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continued obsession with his own image even after the pregnancy test?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important was Brad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acting to making the video effective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?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Explain.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5.  The video was not very literal.  The lyrics did not match the action much.  Did that matter?  Explain.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