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651000" cy="1651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color w:val="0000fd"/>
          <w:sz w:val="24"/>
          <w:szCs w:val="24"/>
          <w:u w:val="single" w:color="0000fd"/>
          <w:rtl w:val="0"/>
          <w:lang w:val="en-US"/>
        </w:rPr>
        <w:t>htvbuzz.com       @htvbuzz        facebook.com/htvmagazine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u w:val="single"/>
          <w:rtl w:val="0"/>
          <w:lang w:val="en-US"/>
        </w:rPr>
        <w:t>A Life Preserved</w:t>
      </w:r>
    </w:p>
    <w:p>
      <w:pPr>
        <w:pStyle w:val="Body A"/>
      </w:pPr>
    </w:p>
    <w:p>
      <w:pPr>
        <w:pStyle w:val="Body A"/>
        <w:numPr>
          <w:ilvl w:val="0"/>
          <w:numId w:val="3"/>
        </w:numPr>
        <w:ind w:left="260"/>
        <w:rPr>
          <w:position w:val="0"/>
          <w:sz w:val="24"/>
          <w:szCs w:val="24"/>
        </w:rPr>
      </w:pPr>
      <w:r>
        <w:rPr>
          <w:rtl w:val="0"/>
          <w:lang w:val="en-US"/>
        </w:rPr>
        <w:t>The story follows a beginning-middle-end structure, covering the accident, the recovery, then the lesson learned, in that order.  How does this help keep the story straight for the viewer?</w:t>
      </w: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2.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There is not much nat. sound in the story, but there is one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nat sound pop.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 xml:space="preserve">”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What was it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3.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Why were the still photos helpful?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position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4.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The interview with the father was poorly framed and had to be adjusted digitally in the editing process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.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But that didn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t fix everything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—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what is still wrong with his interview shot?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5.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By the end of the story, after meeting Lisa, how do you feel about her attitude?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