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Hayley Queen</w:t>
      </w:r>
    </w:p>
    <w:p>
      <w:pPr>
        <w:pStyle w:val="Body A"/>
        <w:tabs>
          <w:tab w:val="left" w:pos="260"/>
        </w:tabs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  <w:r>
        <w:rPr>
          <w:rFonts w:ascii="Helvetica" w:cs="Arial Unicode MS" w:hAnsi="Arial Unicode MS" w:eastAsia="Arial Unicode MS"/>
          <w:position w:val="0"/>
          <w:sz w:val="24"/>
          <w:szCs w:val="24"/>
          <w:rtl w:val="0"/>
          <w:lang w:val="en-US"/>
        </w:rPr>
        <w:t>1.  This is a nat-sound interview piece.  What does it NOT include that most stories do?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Why do you think the editor chose to use some color effects during the piece?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The actual brain scan showing the tumor was crucial to the story.  Why?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What was important the lesson Hayley says she learned from this experience?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What are the interview challenges when you are trying to tell a story using just the words of your subject?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