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sz w:val="24"/>
          <w:szCs w:val="24"/>
          <w:u w:val="single"/>
          <w:rtl w:val="0"/>
          <w:lang w:val="en-US"/>
        </w:rPr>
        <w:t>All the Right Moves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How is this story a good example of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what goes around comes around?</w:t>
      </w:r>
      <w:r>
        <w:rPr>
          <w:rFonts w:hAnsi="Helvetica" w:hint="default"/>
          <w:sz w:val="24"/>
          <w:szCs w:val="24"/>
          <w:rtl w:val="0"/>
          <w:lang w:val="en-US"/>
        </w:rPr>
        <w:t>”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2.  The story found a nice angle about prom prep.  What other questions did you have for the dancers that you would like to have asked?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  Two cameras were used to shoot the story.  What are some advantages and some challenges when two cameras shoot in the same space at the same time?</w:t>
      </w: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There was no reporter stand-up.  Did it matter?  Did you miss it? </w:t>
      </w: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5.  How did you feel about swing dancing after watching the story?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