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sz w:val="24"/>
          <w:szCs w:val="24"/>
          <w:u w:val="single"/>
          <w:rtl w:val="0"/>
          <w:lang w:val="en-US"/>
        </w:rPr>
        <w:t>The Power of Cheese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story begins with two stand-ups by two reporters.  How do they both help establish the light-hearted tone of the story?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Technical problems help build the comedy.  Explain the first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glitch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used for humor.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3.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The voiceovers at times break a rule about setting up, not giving away, a soundbite.  Explain how.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6"/>
        </w:numPr>
        <w:ind w:left="260"/>
        <w:rPr>
          <w:position w:val="0"/>
        </w:rPr>
      </w:pPr>
      <w:r>
        <w:rPr>
          <w:rtl w:val="0"/>
          <w:lang w:val="en-US"/>
        </w:rPr>
        <w:t xml:space="preserve"> How was confidentiality broken in the story?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How do you think the Osceola Cheese Factory owners reacted to the story?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List 1"/>
    <w:lvl w:ilvl="0">
      <w:start w:val="4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